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EA0C4E" w:rsidP="00EA0C4E">
      <w:pPr>
        <w:rPr>
          <w:rFonts w:ascii="Calibri Light" w:hAnsi="Calibri Light"/>
          <w:sz w:val="28"/>
        </w:rPr>
      </w:pPr>
      <w:proofErr w:type="gramStart"/>
      <w:r>
        <w:rPr>
          <w:rFonts w:ascii="Calibri Light" w:hAnsi="Calibri Light"/>
          <w:sz w:val="28"/>
        </w:rPr>
        <w:t>triangle</w:t>
      </w:r>
      <w:proofErr w:type="gramEnd"/>
      <w:r>
        <w:rPr>
          <w:rFonts w:ascii="Calibri Light" w:hAnsi="Calibri Light"/>
          <w:sz w:val="28"/>
        </w:rPr>
        <w:t xml:space="preserve"> properties</w:t>
      </w:r>
    </w:p>
    <w:p w:rsidR="006F47DC" w:rsidRDefault="006F47DC" w:rsidP="00EA0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90"/>
        <w:gridCol w:w="4050"/>
        <w:gridCol w:w="3078"/>
      </w:tblGrid>
      <w:tr w:rsidR="00EA0C4E" w:rsidRPr="006D000A" w:rsidTr="00700AE7">
        <w:tc>
          <w:tcPr>
            <w:tcW w:w="2898" w:type="dxa"/>
          </w:tcPr>
          <w:p w:rsidR="00EA0C4E" w:rsidRPr="006D000A" w:rsidRDefault="00EA0C4E" w:rsidP="00B1261B">
            <w:pPr>
              <w:rPr>
                <w:rFonts w:ascii="Calibri Light" w:hAnsi="Calibri Light"/>
                <w:b/>
              </w:rPr>
            </w:pPr>
            <w:r w:rsidRPr="006D000A">
              <w:rPr>
                <w:rFonts w:ascii="Calibri Light" w:hAnsi="Calibri Light"/>
                <w:b/>
              </w:rPr>
              <w:t>Date</w:t>
            </w:r>
          </w:p>
        </w:tc>
        <w:tc>
          <w:tcPr>
            <w:tcW w:w="4590" w:type="dxa"/>
          </w:tcPr>
          <w:p w:rsidR="00EA0C4E" w:rsidRPr="006D000A" w:rsidRDefault="00EA0C4E" w:rsidP="00B1261B">
            <w:pPr>
              <w:rPr>
                <w:rFonts w:ascii="Calibri Light" w:hAnsi="Calibri Light"/>
                <w:b/>
              </w:rPr>
            </w:pPr>
            <w:r w:rsidRPr="006D000A">
              <w:rPr>
                <w:rFonts w:ascii="Calibri Light" w:hAnsi="Calibri Light"/>
                <w:b/>
              </w:rPr>
              <w:t>Concept</w:t>
            </w:r>
          </w:p>
        </w:tc>
        <w:tc>
          <w:tcPr>
            <w:tcW w:w="4050" w:type="dxa"/>
          </w:tcPr>
          <w:p w:rsidR="00EA0C4E" w:rsidRPr="006D000A" w:rsidRDefault="00EA0C4E" w:rsidP="00B1261B">
            <w:pPr>
              <w:rPr>
                <w:rFonts w:ascii="Calibri Light" w:hAnsi="Calibri Light"/>
                <w:b/>
              </w:rPr>
            </w:pPr>
            <w:r w:rsidRPr="006D000A">
              <w:rPr>
                <w:rFonts w:ascii="Calibri Light" w:hAnsi="Calibri Light"/>
                <w:b/>
              </w:rPr>
              <w:t>Homework</w:t>
            </w:r>
          </w:p>
        </w:tc>
        <w:tc>
          <w:tcPr>
            <w:tcW w:w="3078" w:type="dxa"/>
          </w:tcPr>
          <w:p w:rsidR="00EA0C4E" w:rsidRPr="006D000A" w:rsidRDefault="00EA0C4E" w:rsidP="00B1261B">
            <w:pPr>
              <w:rPr>
                <w:rFonts w:ascii="Calibri Light" w:hAnsi="Calibri Light"/>
                <w:b/>
              </w:rPr>
            </w:pPr>
            <w:r w:rsidRPr="006D000A">
              <w:rPr>
                <w:rFonts w:ascii="Calibri Light" w:hAnsi="Calibri Light"/>
                <w:b/>
              </w:rPr>
              <w:t>Due Date</w:t>
            </w:r>
          </w:p>
        </w:tc>
      </w:tr>
      <w:tr w:rsidR="002A3880" w:rsidTr="00700AE7">
        <w:tc>
          <w:tcPr>
            <w:tcW w:w="2898" w:type="dxa"/>
          </w:tcPr>
          <w:p w:rsidR="002A3880" w:rsidRDefault="002A3880" w:rsidP="00EA0C4E">
            <w:r>
              <w:t>10/14 T or 10/15 W</w:t>
            </w:r>
          </w:p>
        </w:tc>
        <w:tc>
          <w:tcPr>
            <w:tcW w:w="4590" w:type="dxa"/>
          </w:tcPr>
          <w:p w:rsidR="002A3880" w:rsidRDefault="002A3880" w:rsidP="00A077FE">
            <w:r>
              <w:t xml:space="preserve">Congruence: </w:t>
            </w:r>
            <w:r w:rsidR="006F47DC">
              <w:t>HL and CPCTC</w:t>
            </w:r>
          </w:p>
        </w:tc>
        <w:tc>
          <w:tcPr>
            <w:tcW w:w="4050" w:type="dxa"/>
          </w:tcPr>
          <w:p w:rsidR="002A3880" w:rsidRDefault="002A3880" w:rsidP="00F50935">
            <w:r w:rsidRPr="009A5B45">
              <w:rPr>
                <w:u w:val="single"/>
              </w:rPr>
              <w:t>p. 256</w:t>
            </w:r>
            <w:r>
              <w:t>: 7,8, 14-17,20</w:t>
            </w:r>
          </w:p>
          <w:p w:rsidR="002A3880" w:rsidRDefault="002A3880" w:rsidP="00F50935">
            <w:r w:rsidRPr="009A5B45">
              <w:rPr>
                <w:u w:val="single"/>
              </w:rPr>
              <w:t>p. 263</w:t>
            </w:r>
            <w:r>
              <w:t>: 7-11</w:t>
            </w:r>
          </w:p>
          <w:p w:rsidR="006F47DC" w:rsidRDefault="006F47DC" w:rsidP="006F47DC">
            <w:r>
              <w:t>Chapter 5 Vocab (list on p. 366, definition + picture)</w:t>
            </w:r>
          </w:p>
        </w:tc>
        <w:tc>
          <w:tcPr>
            <w:tcW w:w="3078" w:type="dxa"/>
          </w:tcPr>
          <w:p w:rsidR="002A3880" w:rsidRDefault="002A3880" w:rsidP="00F50935">
            <w:r>
              <w:t>10/ 20 (Monday)</w:t>
            </w:r>
          </w:p>
        </w:tc>
      </w:tr>
      <w:tr w:rsidR="002A3880" w:rsidTr="00700AE7">
        <w:tc>
          <w:tcPr>
            <w:tcW w:w="2898" w:type="dxa"/>
          </w:tcPr>
          <w:p w:rsidR="002A3880" w:rsidRDefault="002A3880" w:rsidP="00B1261B">
            <w:r>
              <w:t xml:space="preserve">10/16 </w:t>
            </w:r>
            <w:proofErr w:type="spellStart"/>
            <w:r>
              <w:t>Th</w:t>
            </w:r>
            <w:proofErr w:type="spellEnd"/>
            <w:r>
              <w:t xml:space="preserve"> or 10/17 F</w:t>
            </w:r>
          </w:p>
        </w:tc>
        <w:tc>
          <w:tcPr>
            <w:tcW w:w="4590" w:type="dxa"/>
          </w:tcPr>
          <w:p w:rsidR="002A3880" w:rsidRDefault="00A077FE" w:rsidP="00EA0C4E">
            <w:r>
              <w:t>Isosceles and Equilateral Triangles</w:t>
            </w:r>
          </w:p>
        </w:tc>
        <w:tc>
          <w:tcPr>
            <w:tcW w:w="4050" w:type="dxa"/>
          </w:tcPr>
          <w:p w:rsidR="002A3880" w:rsidRPr="00A077FE" w:rsidRDefault="00A077FE" w:rsidP="00EA0C4E">
            <w:pPr>
              <w:rPr>
                <w:u w:val="single"/>
              </w:rPr>
            </w:pPr>
            <w:r>
              <w:rPr>
                <w:u w:val="single"/>
              </w:rPr>
              <w:t xml:space="preserve">p. 277: </w:t>
            </w:r>
            <w:r>
              <w:t>12-20; 26-29, 38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078" w:type="dxa"/>
          </w:tcPr>
          <w:p w:rsidR="002A3880" w:rsidRDefault="00700AE7" w:rsidP="009A5B45">
            <w:r>
              <w:t>10/ 20 (Monday)</w:t>
            </w:r>
          </w:p>
        </w:tc>
      </w:tr>
      <w:tr w:rsidR="002A3880" w:rsidTr="00700AE7">
        <w:tc>
          <w:tcPr>
            <w:tcW w:w="2898" w:type="dxa"/>
          </w:tcPr>
          <w:p w:rsidR="002A3880" w:rsidRDefault="002A3880" w:rsidP="00B1261B">
            <w:r>
              <w:t>10/20 M</w:t>
            </w:r>
          </w:p>
        </w:tc>
        <w:tc>
          <w:tcPr>
            <w:tcW w:w="4590" w:type="dxa"/>
          </w:tcPr>
          <w:p w:rsidR="002A3880" w:rsidRDefault="00A536E2" w:rsidP="00B1261B">
            <w:r w:rsidRPr="00A536E2">
              <w:rPr>
                <w:b/>
              </w:rPr>
              <w:t>Quiz</w:t>
            </w:r>
            <w:r>
              <w:t xml:space="preserve">; </w:t>
            </w:r>
            <w:proofErr w:type="spellStart"/>
            <w:r w:rsidR="002A3880">
              <w:t>Midsegment</w:t>
            </w:r>
            <w:proofErr w:type="spellEnd"/>
            <w:r w:rsidR="002A3880">
              <w:t xml:space="preserve"> Theorem: Midpoint Madness task</w:t>
            </w:r>
          </w:p>
        </w:tc>
        <w:tc>
          <w:tcPr>
            <w:tcW w:w="4050" w:type="dxa"/>
          </w:tcPr>
          <w:p w:rsidR="00700AE7" w:rsidRDefault="002A3880" w:rsidP="00B1261B">
            <w:r>
              <w:t>Finish task worksheet</w:t>
            </w:r>
            <w:r w:rsidR="00700AE7">
              <w:t xml:space="preserve"> if needed</w:t>
            </w:r>
          </w:p>
          <w:p w:rsidR="002A3880" w:rsidRDefault="00700AE7" w:rsidP="00B1261B">
            <w:r>
              <w:rPr>
                <w:u w:val="single"/>
              </w:rPr>
              <w:t>p. 324</w:t>
            </w:r>
            <w:r>
              <w:t>: 11-22</w:t>
            </w:r>
          </w:p>
        </w:tc>
        <w:tc>
          <w:tcPr>
            <w:tcW w:w="3078" w:type="dxa"/>
          </w:tcPr>
          <w:p w:rsidR="002A3880" w:rsidRDefault="002A3880" w:rsidP="00B1261B">
            <w:r>
              <w:t>Next class</w:t>
            </w:r>
          </w:p>
        </w:tc>
      </w:tr>
      <w:tr w:rsidR="002A3880" w:rsidTr="00700AE7">
        <w:tc>
          <w:tcPr>
            <w:tcW w:w="2898" w:type="dxa"/>
          </w:tcPr>
          <w:p w:rsidR="002A3880" w:rsidRDefault="002A3880" w:rsidP="00B1261B">
            <w:r>
              <w:t xml:space="preserve">10/21 </w:t>
            </w:r>
            <w:proofErr w:type="spellStart"/>
            <w:r>
              <w:t>Tu</w:t>
            </w:r>
            <w:proofErr w:type="spellEnd"/>
            <w:r>
              <w:t xml:space="preserve"> or 10/22 W</w:t>
            </w:r>
          </w:p>
        </w:tc>
        <w:tc>
          <w:tcPr>
            <w:tcW w:w="4590" w:type="dxa"/>
          </w:tcPr>
          <w:p w:rsidR="002A3880" w:rsidRDefault="00E45BB8" w:rsidP="00B1261B">
            <w:proofErr w:type="spellStart"/>
            <w:r>
              <w:t>Incenter</w:t>
            </w:r>
            <w:proofErr w:type="spellEnd"/>
            <w:r>
              <w:t xml:space="preserve"> and </w:t>
            </w:r>
            <w:proofErr w:type="spellStart"/>
            <w:r>
              <w:t>Circumcenter</w:t>
            </w:r>
            <w:proofErr w:type="spellEnd"/>
            <w:r>
              <w:t>: construction and properties</w:t>
            </w:r>
          </w:p>
        </w:tc>
        <w:tc>
          <w:tcPr>
            <w:tcW w:w="4050" w:type="dxa"/>
          </w:tcPr>
          <w:p w:rsidR="002A3880" w:rsidRPr="00E45BB8" w:rsidRDefault="00E45BB8" w:rsidP="00B1261B">
            <w:pPr>
              <w:rPr>
                <w:u w:val="single"/>
              </w:rPr>
            </w:pPr>
            <w:r>
              <w:rPr>
                <w:u w:val="single"/>
              </w:rPr>
              <w:t xml:space="preserve">p. 311: </w:t>
            </w:r>
            <w:r w:rsidRPr="00E45BB8">
              <w:t>12-19</w:t>
            </w:r>
            <w:r>
              <w:t>, 22-27</w:t>
            </w:r>
          </w:p>
        </w:tc>
        <w:tc>
          <w:tcPr>
            <w:tcW w:w="3078" w:type="dxa"/>
          </w:tcPr>
          <w:p w:rsidR="002A3880" w:rsidRDefault="00A536E2" w:rsidP="00AD3817">
            <w:r>
              <w:t>10/27 (Monday)</w:t>
            </w:r>
          </w:p>
        </w:tc>
      </w:tr>
      <w:tr w:rsidR="002A3880" w:rsidTr="00700AE7">
        <w:tc>
          <w:tcPr>
            <w:tcW w:w="2898" w:type="dxa"/>
          </w:tcPr>
          <w:p w:rsidR="002A3880" w:rsidRDefault="00E45BB8" w:rsidP="00B1261B">
            <w:r>
              <w:t xml:space="preserve">10/23 </w:t>
            </w:r>
            <w:proofErr w:type="spellStart"/>
            <w:r>
              <w:t>Th</w:t>
            </w:r>
            <w:proofErr w:type="spellEnd"/>
            <w:r>
              <w:t xml:space="preserve"> or 10/24 F</w:t>
            </w:r>
          </w:p>
        </w:tc>
        <w:tc>
          <w:tcPr>
            <w:tcW w:w="4590" w:type="dxa"/>
          </w:tcPr>
          <w:p w:rsidR="002A3880" w:rsidRDefault="00E45BB8" w:rsidP="00B1261B">
            <w:r>
              <w:t>Medians and Centroids, Altitudes and Orthocenters</w:t>
            </w:r>
          </w:p>
        </w:tc>
        <w:tc>
          <w:tcPr>
            <w:tcW w:w="4050" w:type="dxa"/>
          </w:tcPr>
          <w:p w:rsidR="002A3880" w:rsidRPr="00A536E2" w:rsidRDefault="00E45BB8" w:rsidP="00B1261B">
            <w:r w:rsidRPr="00A536E2">
              <w:rPr>
                <w:u w:val="single"/>
              </w:rPr>
              <w:t>p</w:t>
            </w:r>
            <w:r w:rsidR="00A536E2" w:rsidRPr="00A536E2">
              <w:rPr>
                <w:u w:val="single"/>
              </w:rPr>
              <w:t>.</w:t>
            </w:r>
            <w:r w:rsidR="00A536E2">
              <w:rPr>
                <w:u w:val="single"/>
              </w:rPr>
              <w:t xml:space="preserve"> 318:</w:t>
            </w:r>
            <w:r w:rsidR="00A536E2">
              <w:t xml:space="preserve"> 12-24</w:t>
            </w:r>
          </w:p>
        </w:tc>
        <w:tc>
          <w:tcPr>
            <w:tcW w:w="3078" w:type="dxa"/>
          </w:tcPr>
          <w:p w:rsidR="002A3880" w:rsidRDefault="00A536E2" w:rsidP="00B1261B">
            <w:r>
              <w:t>10/27 (Monday)</w:t>
            </w:r>
          </w:p>
        </w:tc>
      </w:tr>
      <w:tr w:rsidR="002A3880" w:rsidTr="00700AE7">
        <w:tc>
          <w:tcPr>
            <w:tcW w:w="2898" w:type="dxa"/>
          </w:tcPr>
          <w:p w:rsidR="002A3880" w:rsidRDefault="00A536E2" w:rsidP="00B1261B">
            <w:r>
              <w:t>10/27 M</w:t>
            </w:r>
          </w:p>
        </w:tc>
        <w:tc>
          <w:tcPr>
            <w:tcW w:w="4590" w:type="dxa"/>
          </w:tcPr>
          <w:p w:rsidR="002A3880" w:rsidRDefault="00A536E2" w:rsidP="00B1261B">
            <w:r>
              <w:rPr>
                <w:b/>
              </w:rPr>
              <w:t>Q</w:t>
            </w:r>
            <w:r w:rsidRPr="00A536E2">
              <w:rPr>
                <w:b/>
              </w:rPr>
              <w:t>uiz</w:t>
            </w:r>
            <w:r>
              <w:t>; Hinge Theorem</w:t>
            </w:r>
          </w:p>
        </w:tc>
        <w:tc>
          <w:tcPr>
            <w:tcW w:w="4050" w:type="dxa"/>
          </w:tcPr>
          <w:p w:rsidR="002A3880" w:rsidRPr="00A536E2" w:rsidRDefault="00A536E2" w:rsidP="00B1261B">
            <w:r>
              <w:rPr>
                <w:u w:val="single"/>
              </w:rPr>
              <w:t>p. 343</w:t>
            </w:r>
            <w:r>
              <w:t>: 9-16</w:t>
            </w:r>
          </w:p>
        </w:tc>
        <w:tc>
          <w:tcPr>
            <w:tcW w:w="3078" w:type="dxa"/>
          </w:tcPr>
          <w:p w:rsidR="002A3880" w:rsidRDefault="00A536E2" w:rsidP="00B1261B">
            <w:r>
              <w:t>Next class</w:t>
            </w:r>
          </w:p>
        </w:tc>
      </w:tr>
      <w:tr w:rsidR="002A3880" w:rsidTr="00700AE7">
        <w:tc>
          <w:tcPr>
            <w:tcW w:w="2898" w:type="dxa"/>
          </w:tcPr>
          <w:p w:rsidR="002A3880" w:rsidRDefault="00A536E2" w:rsidP="00B1261B">
            <w:r>
              <w:t xml:space="preserve">10/28 </w:t>
            </w:r>
            <w:proofErr w:type="spellStart"/>
            <w:r>
              <w:t>Tu</w:t>
            </w:r>
            <w:proofErr w:type="spellEnd"/>
            <w:r>
              <w:t xml:space="preserve"> or 10/29 W</w:t>
            </w:r>
          </w:p>
        </w:tc>
        <w:tc>
          <w:tcPr>
            <w:tcW w:w="4590" w:type="dxa"/>
          </w:tcPr>
          <w:p w:rsidR="002A3880" w:rsidRDefault="00A536E2" w:rsidP="00B1261B">
            <w:r>
              <w:t>Pythagorean Triples and Inequalities, Special Right Triangles</w:t>
            </w:r>
          </w:p>
        </w:tc>
        <w:tc>
          <w:tcPr>
            <w:tcW w:w="4050" w:type="dxa"/>
          </w:tcPr>
          <w:p w:rsidR="002A3880" w:rsidRDefault="00A536E2" w:rsidP="00B1261B">
            <w:r>
              <w:rPr>
                <w:u w:val="single"/>
              </w:rPr>
              <w:t>p. 3</w:t>
            </w:r>
            <w:r w:rsidR="006F47DC">
              <w:rPr>
                <w:u w:val="single"/>
              </w:rPr>
              <w:t>52</w:t>
            </w:r>
            <w:r w:rsidR="006F47DC">
              <w:t>: 9-11, 30-32, 48-51, 54</w:t>
            </w:r>
          </w:p>
          <w:p w:rsidR="006F47DC" w:rsidRPr="006F47DC" w:rsidRDefault="006F47DC" w:rsidP="00B1261B">
            <w:r w:rsidRPr="006F47DC">
              <w:rPr>
                <w:u w:val="single"/>
              </w:rPr>
              <w:t>p.</w:t>
            </w:r>
            <w:r>
              <w:rPr>
                <w:u w:val="single"/>
              </w:rPr>
              <w:t>360:</w:t>
            </w:r>
            <w:r>
              <w:t xml:space="preserve"> 9-16</w:t>
            </w:r>
          </w:p>
        </w:tc>
        <w:tc>
          <w:tcPr>
            <w:tcW w:w="3078" w:type="dxa"/>
          </w:tcPr>
          <w:p w:rsidR="002A3880" w:rsidRDefault="006F47DC" w:rsidP="00B1261B">
            <w:r>
              <w:t>Next class</w:t>
            </w:r>
          </w:p>
        </w:tc>
      </w:tr>
      <w:tr w:rsidR="002A3880" w:rsidTr="00700AE7">
        <w:tc>
          <w:tcPr>
            <w:tcW w:w="2898" w:type="dxa"/>
          </w:tcPr>
          <w:p w:rsidR="002A3880" w:rsidRDefault="006F47DC" w:rsidP="00B1261B">
            <w:r>
              <w:t xml:space="preserve">10/30 </w:t>
            </w:r>
            <w:proofErr w:type="spellStart"/>
            <w:r>
              <w:t>Th</w:t>
            </w:r>
            <w:proofErr w:type="spellEnd"/>
            <w:r>
              <w:t xml:space="preserve"> or 10/31 F</w:t>
            </w:r>
          </w:p>
        </w:tc>
        <w:tc>
          <w:tcPr>
            <w:tcW w:w="4590" w:type="dxa"/>
          </w:tcPr>
          <w:p w:rsidR="002A3880" w:rsidRDefault="006F47DC" w:rsidP="00B1261B">
            <w:r>
              <w:t>Review</w:t>
            </w:r>
          </w:p>
        </w:tc>
        <w:tc>
          <w:tcPr>
            <w:tcW w:w="4050" w:type="dxa"/>
          </w:tcPr>
          <w:p w:rsidR="002A3880" w:rsidRDefault="006F47DC" w:rsidP="00B1261B">
            <w:r>
              <w:t>Complete study guide, study for test</w:t>
            </w:r>
          </w:p>
        </w:tc>
        <w:tc>
          <w:tcPr>
            <w:tcW w:w="3078" w:type="dxa"/>
          </w:tcPr>
          <w:p w:rsidR="006F47DC" w:rsidRDefault="006F47DC" w:rsidP="00B1261B"/>
        </w:tc>
      </w:tr>
      <w:tr w:rsidR="006F47DC" w:rsidTr="00700AE7">
        <w:tc>
          <w:tcPr>
            <w:tcW w:w="2898" w:type="dxa"/>
          </w:tcPr>
          <w:p w:rsidR="006F47DC" w:rsidRDefault="006F47DC" w:rsidP="00B1261B">
            <w:r>
              <w:t>11/3 M</w:t>
            </w:r>
          </w:p>
        </w:tc>
        <w:tc>
          <w:tcPr>
            <w:tcW w:w="4590" w:type="dxa"/>
          </w:tcPr>
          <w:p w:rsidR="006F47DC" w:rsidRDefault="00F76190" w:rsidP="00B1261B">
            <w:r>
              <w:t>Test</w:t>
            </w:r>
          </w:p>
        </w:tc>
        <w:tc>
          <w:tcPr>
            <w:tcW w:w="4050" w:type="dxa"/>
          </w:tcPr>
          <w:p w:rsidR="006F47DC" w:rsidRDefault="006F47DC" w:rsidP="00B1261B">
            <w:r>
              <w:t>none</w:t>
            </w:r>
          </w:p>
        </w:tc>
        <w:tc>
          <w:tcPr>
            <w:tcW w:w="3078" w:type="dxa"/>
          </w:tcPr>
          <w:p w:rsidR="006F47DC" w:rsidRDefault="006F47DC" w:rsidP="00B1261B">
            <w:r>
              <w:t>none</w:t>
            </w:r>
          </w:p>
        </w:tc>
      </w:tr>
    </w:tbl>
    <w:p w:rsidR="00EA0C4E" w:rsidRDefault="00EA0C4E" w:rsidP="00EA0C4E"/>
    <w:p w:rsidR="00EA0C4E" w:rsidRDefault="00EA0C4E" w:rsidP="00EA0C4E"/>
    <w:p w:rsidR="00EA0C4E" w:rsidRDefault="00EA0C4E" w:rsidP="00EA0C4E"/>
    <w:p w:rsidR="00EA0C4E" w:rsidRDefault="00EA0C4E" w:rsidP="00EA0C4E"/>
    <w:p w:rsidR="00EA0C4E" w:rsidRPr="006D000A" w:rsidRDefault="00EA0C4E" w:rsidP="00EA0C4E">
      <w:pPr>
        <w:rPr>
          <w:rFonts w:ascii="Calibri Light" w:hAnsi="Calibri Light"/>
          <w:sz w:val="28"/>
        </w:rPr>
      </w:pPr>
      <w:proofErr w:type="gramStart"/>
      <w:r w:rsidRPr="006D000A">
        <w:rPr>
          <w:rFonts w:ascii="Calibri Light" w:hAnsi="Calibri Light"/>
          <w:sz w:val="28"/>
        </w:rPr>
        <w:t>skills/learning</w:t>
      </w:r>
      <w:proofErr w:type="gramEnd"/>
      <w:r w:rsidRPr="006D000A">
        <w:rPr>
          <w:rFonts w:ascii="Calibri Light" w:hAnsi="Calibri Light"/>
          <w:sz w:val="28"/>
        </w:rPr>
        <w:t xml:space="preserve">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3878"/>
      </w:tblGrid>
      <w:tr w:rsidR="00EA0C4E" w:rsidTr="00B1261B">
        <w:tc>
          <w:tcPr>
            <w:tcW w:w="738" w:type="dxa"/>
          </w:tcPr>
          <w:p w:rsidR="00EA0C4E" w:rsidRDefault="00EA0C4E" w:rsidP="00B1261B">
            <w:r>
              <w:t>1.</w:t>
            </w:r>
          </w:p>
        </w:tc>
        <w:tc>
          <w:tcPr>
            <w:tcW w:w="13878" w:type="dxa"/>
          </w:tcPr>
          <w:p w:rsidR="00EA0C4E" w:rsidRDefault="006F47DC" w:rsidP="00B1261B">
            <w:r>
              <w:t>Extend the concept of congruent triangles to include the HL case for right triangles.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 xml:space="preserve">2. </w:t>
            </w:r>
          </w:p>
        </w:tc>
        <w:tc>
          <w:tcPr>
            <w:tcW w:w="13878" w:type="dxa"/>
          </w:tcPr>
          <w:p w:rsidR="00EA0C4E" w:rsidRDefault="006F47DC" w:rsidP="006F47DC">
            <w:r>
              <w:t>Prove parts of triangles congruent using CPCTC.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 xml:space="preserve">3. </w:t>
            </w:r>
          </w:p>
        </w:tc>
        <w:tc>
          <w:tcPr>
            <w:tcW w:w="13878" w:type="dxa"/>
          </w:tcPr>
          <w:p w:rsidR="00EA0C4E" w:rsidRDefault="006F47DC" w:rsidP="006F47DC">
            <w:r>
              <w:t>Recognize patterns and structures in isosceles and equilateral triangles.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 xml:space="preserve">4. </w:t>
            </w:r>
          </w:p>
        </w:tc>
        <w:tc>
          <w:tcPr>
            <w:tcW w:w="13878" w:type="dxa"/>
          </w:tcPr>
          <w:p w:rsidR="00EA0C4E" w:rsidRDefault="006F47DC" w:rsidP="006F47DC">
            <w:r>
              <w:t xml:space="preserve">Prove the triangle </w:t>
            </w:r>
            <w:proofErr w:type="spellStart"/>
            <w:r>
              <w:t>midsegment</w:t>
            </w:r>
            <w:proofErr w:type="spellEnd"/>
            <w:r>
              <w:t xml:space="preserve"> theorem through a generalized coordinate-based argument.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 xml:space="preserve">5. </w:t>
            </w:r>
          </w:p>
        </w:tc>
        <w:tc>
          <w:tcPr>
            <w:tcW w:w="13878" w:type="dxa"/>
          </w:tcPr>
          <w:p w:rsidR="00EA0C4E" w:rsidRDefault="006F47DC" w:rsidP="00B1261B">
            <w:r>
              <w:t>Construct and identify the properties of concurrent angle and perpendicular bisectors.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 xml:space="preserve">6. </w:t>
            </w:r>
          </w:p>
        </w:tc>
        <w:tc>
          <w:tcPr>
            <w:tcW w:w="13878" w:type="dxa"/>
          </w:tcPr>
          <w:p w:rsidR="00EA0C4E" w:rsidRDefault="006F47DC" w:rsidP="006F47DC">
            <w:r>
              <w:t xml:space="preserve">Construct medians and their point of concurrency (the centroid); recognize the centroid as the triangle’s center of gravity. 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 xml:space="preserve">7. </w:t>
            </w:r>
          </w:p>
        </w:tc>
        <w:tc>
          <w:tcPr>
            <w:tcW w:w="13878" w:type="dxa"/>
          </w:tcPr>
          <w:p w:rsidR="00EA0C4E" w:rsidRDefault="00E65352" w:rsidP="00E65352">
            <w:r>
              <w:t>Use the ratio properties of medians and centroids to find unknown lengths within triangles.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>8.</w:t>
            </w:r>
          </w:p>
        </w:tc>
        <w:tc>
          <w:tcPr>
            <w:tcW w:w="13878" w:type="dxa"/>
          </w:tcPr>
          <w:p w:rsidR="00EA0C4E" w:rsidRDefault="001F6B63" w:rsidP="00B1261B">
            <w:r>
              <w:t>Solve inequalities of two triangles using the hinge theorem, using side-angle relationships.</w:t>
            </w:r>
          </w:p>
        </w:tc>
      </w:tr>
      <w:tr w:rsidR="00EA0C4E" w:rsidTr="00B1261B">
        <w:tc>
          <w:tcPr>
            <w:tcW w:w="738" w:type="dxa"/>
          </w:tcPr>
          <w:p w:rsidR="00EA0C4E" w:rsidRDefault="00EA0C4E" w:rsidP="00B1261B">
            <w:r>
              <w:t>9.</w:t>
            </w:r>
          </w:p>
        </w:tc>
        <w:tc>
          <w:tcPr>
            <w:tcW w:w="13878" w:type="dxa"/>
          </w:tcPr>
          <w:p w:rsidR="00EA0C4E" w:rsidRDefault="001F6B63" w:rsidP="00B1261B">
            <w:r>
              <w:t>Recognize Pythagorean triples and understand their numerical significance.</w:t>
            </w:r>
          </w:p>
        </w:tc>
      </w:tr>
      <w:tr w:rsidR="001F6B63" w:rsidTr="00B1261B">
        <w:tc>
          <w:tcPr>
            <w:tcW w:w="738" w:type="dxa"/>
          </w:tcPr>
          <w:p w:rsidR="001F6B63" w:rsidRDefault="001F6B63" w:rsidP="00B1261B">
            <w:r>
              <w:t>10.</w:t>
            </w:r>
          </w:p>
        </w:tc>
        <w:tc>
          <w:tcPr>
            <w:tcW w:w="13878" w:type="dxa"/>
          </w:tcPr>
          <w:p w:rsidR="001F6B63" w:rsidRDefault="001F6B63" w:rsidP="001F6B63">
            <w:r>
              <w:t>Use the patterns of 45-45-90 and 30-60-90 to instantly find missing lengths in special right triangles.</w:t>
            </w:r>
          </w:p>
        </w:tc>
      </w:tr>
    </w:tbl>
    <w:p w:rsidR="00EA0C4E" w:rsidRDefault="00EA0C4E" w:rsidP="00EA0C4E"/>
    <w:p w:rsidR="00EA0C4E" w:rsidRDefault="00EA0C4E" w:rsidP="00EA0C4E"/>
    <w:p w:rsidR="00EA0C4E" w:rsidRDefault="00EA0C4E" w:rsidP="00EA0C4E"/>
    <w:p w:rsidR="00EA0C4E" w:rsidRDefault="00EA0C4E" w:rsidP="00EA0C4E"/>
    <w:p w:rsidR="00EA0C4E" w:rsidRDefault="00EA0C4E" w:rsidP="00EA0C4E"/>
    <w:p w:rsidR="00EA0C4E" w:rsidRDefault="00EA0C4E" w:rsidP="00EA0C4E"/>
    <w:p w:rsidR="00700AE7" w:rsidRDefault="006F47DC">
      <w:proofErr w:type="gramStart"/>
      <w:r>
        <w:lastRenderedPageBreak/>
        <w:t>e</w:t>
      </w:r>
      <w:r w:rsidR="00700AE7" w:rsidRPr="00700AE7">
        <w:t>xtra</w:t>
      </w:r>
      <w:proofErr w:type="gramEnd"/>
      <w:r w:rsidR="00700AE7">
        <w:t xml:space="preserve"> credit project: </w:t>
      </w:r>
      <w:r w:rsidR="00E45BB8">
        <w:t xml:space="preserve">constructing an ancient artifact </w:t>
      </w:r>
    </w:p>
    <w:p w:rsidR="00700AE7" w:rsidRPr="001F6B63" w:rsidRDefault="00700AE7">
      <w:pPr>
        <w:rPr>
          <w:u w:val="single"/>
        </w:rPr>
      </w:pPr>
      <w:r w:rsidRPr="001F6B63">
        <w:rPr>
          <w:u w:val="single"/>
        </w:rPr>
        <w:t>DUE:</w:t>
      </w:r>
      <w:r w:rsidR="006F47DC" w:rsidRPr="001F6B63">
        <w:rPr>
          <w:u w:val="single"/>
        </w:rPr>
        <w:t xml:space="preserve"> 10/31</w:t>
      </w:r>
    </w:p>
    <w:p w:rsidR="00700AE7" w:rsidRDefault="00700AE7"/>
    <w:p w:rsidR="00700AE7" w:rsidRDefault="00700AE7">
      <w:r>
        <w:t>You are trekking in the Peruvian mountain jungles when you are approached by a Quechua</w:t>
      </w:r>
      <w:r w:rsidR="00E45BB8">
        <w:t xml:space="preserve"> local</w:t>
      </w:r>
      <w:r>
        <w:t>.</w:t>
      </w:r>
      <w:r w:rsidR="00DD7460">
        <w:t xml:space="preserve"> </w:t>
      </w:r>
      <w:r w:rsidR="00E45BB8">
        <w:t>Sh</w:t>
      </w:r>
      <w:r w:rsidR="00DD7460">
        <w:t xml:space="preserve">e shows you an old artifact and asks for your help in reconstructing the geometric design on it. </w:t>
      </w:r>
      <w:r w:rsidR="0039448B">
        <w:t xml:space="preserve">She says it contains special powers and may be haunted. </w:t>
      </w:r>
      <w:r w:rsidR="00DD7460">
        <w:t>To</w:t>
      </w:r>
      <w:r w:rsidR="0039448B">
        <w:t xml:space="preserve"> reconstruct it</w:t>
      </w:r>
      <w:r w:rsidR="00DD7460">
        <w:t>, you must:</w:t>
      </w:r>
    </w:p>
    <w:p w:rsidR="00DD7460" w:rsidRDefault="00DD7460"/>
    <w:p w:rsidR="00DD7460" w:rsidRDefault="00DD7460" w:rsidP="00DD7460">
      <w:pPr>
        <w:pStyle w:val="ListParagraph"/>
        <w:numPr>
          <w:ilvl w:val="0"/>
          <w:numId w:val="2"/>
        </w:numPr>
      </w:pPr>
      <w:r>
        <w:t>Construct an equilateral triangle in the center of a sheet of standard sized blank paper, with each side length of</w:t>
      </w:r>
      <w:r w:rsidR="0039448B">
        <w:t xml:space="preserve"> exactly</w:t>
      </w:r>
      <w:r>
        <w:t xml:space="preserve"> 7 inches.</w:t>
      </w:r>
    </w:p>
    <w:p w:rsidR="00136B72" w:rsidRDefault="00DD7460" w:rsidP="00DD7460">
      <w:pPr>
        <w:pStyle w:val="ListParagraph"/>
        <w:numPr>
          <w:ilvl w:val="0"/>
          <w:numId w:val="2"/>
        </w:numPr>
      </w:pPr>
      <w:r>
        <w:t>Construct its</w:t>
      </w:r>
      <w:r w:rsidR="00136B72">
        <w:t xml:space="preserve"> three medians and its centroid, splitting the original triangle into three smaller obtuse triangles.</w:t>
      </w:r>
    </w:p>
    <w:p w:rsidR="00136B72" w:rsidRDefault="00136B72" w:rsidP="00DD7460">
      <w:pPr>
        <w:pStyle w:val="ListParagraph"/>
        <w:numPr>
          <w:ilvl w:val="0"/>
          <w:numId w:val="2"/>
        </w:numPr>
      </w:pPr>
      <w:r>
        <w:t xml:space="preserve">Construct the </w:t>
      </w:r>
      <w:proofErr w:type="spellStart"/>
      <w:r>
        <w:t>incenter</w:t>
      </w:r>
      <w:proofErr w:type="spellEnd"/>
      <w:r>
        <w:t xml:space="preserve"> of each obtuse triangle, and then construct each </w:t>
      </w:r>
      <w:proofErr w:type="spellStart"/>
      <w:r>
        <w:t>incircle</w:t>
      </w:r>
      <w:proofErr w:type="spellEnd"/>
      <w:r>
        <w:t>.</w:t>
      </w:r>
    </w:p>
    <w:p w:rsidR="00136B72" w:rsidRDefault="00136B72" w:rsidP="00DD7460">
      <w:pPr>
        <w:pStyle w:val="ListParagraph"/>
        <w:numPr>
          <w:ilvl w:val="0"/>
          <w:numId w:val="2"/>
        </w:numPr>
      </w:pPr>
      <w:r>
        <w:t xml:space="preserve">Connect the three </w:t>
      </w:r>
      <w:proofErr w:type="spellStart"/>
      <w:r>
        <w:t>incenters</w:t>
      </w:r>
      <w:proofErr w:type="spellEnd"/>
      <w:r>
        <w:t xml:space="preserve"> to form a smaller triangle.</w:t>
      </w:r>
    </w:p>
    <w:p w:rsidR="00DD7460" w:rsidRDefault="00136B72" w:rsidP="00DD7460">
      <w:pPr>
        <w:pStyle w:val="ListParagraph"/>
        <w:numPr>
          <w:ilvl w:val="0"/>
          <w:numId w:val="2"/>
        </w:numPr>
      </w:pPr>
      <w:r>
        <w:t xml:space="preserve">Construct the </w:t>
      </w:r>
      <w:proofErr w:type="spellStart"/>
      <w:r>
        <w:t>circumcenter</w:t>
      </w:r>
      <w:proofErr w:type="spellEnd"/>
      <w:r>
        <w:t xml:space="preserve"> of the original, large equilateral triangle, </w:t>
      </w:r>
      <w:proofErr w:type="gramStart"/>
      <w:r>
        <w:t>then</w:t>
      </w:r>
      <w:proofErr w:type="gramEnd"/>
      <w:r>
        <w:t xml:space="preserve"> construct its </w:t>
      </w:r>
      <w:proofErr w:type="spellStart"/>
      <w:r>
        <w:t>circumcircle</w:t>
      </w:r>
      <w:proofErr w:type="spellEnd"/>
      <w:r>
        <w:t>.</w:t>
      </w:r>
    </w:p>
    <w:p w:rsidR="00136B72" w:rsidRDefault="00136B72" w:rsidP="00136B72"/>
    <w:p w:rsidR="00136B72" w:rsidRDefault="00136B72" w:rsidP="00136B72"/>
    <w:p w:rsidR="00136B72" w:rsidRDefault="00136B72" w:rsidP="00136B72">
      <w:r>
        <w:t xml:space="preserve">The finished product should look something like this (yours will be made by hand, not computer) </w:t>
      </w:r>
    </w:p>
    <w:p w:rsidR="00136B72" w:rsidRDefault="00136B72" w:rsidP="00136B72"/>
    <w:p w:rsidR="00136B72" w:rsidRDefault="00136B72" w:rsidP="00E45BB8">
      <w:pPr>
        <w:jc w:val="center"/>
      </w:pPr>
      <w:r>
        <w:rPr>
          <w:noProof/>
        </w:rPr>
        <w:drawing>
          <wp:inline distT="0" distB="0" distL="0" distR="0">
            <wp:extent cx="2725976" cy="27598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91" cy="27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DC" w:rsidRDefault="006F47DC" w:rsidP="00E45BB8">
      <w:pPr>
        <w:jc w:val="center"/>
      </w:pPr>
    </w:p>
    <w:p w:rsidR="006F47DC" w:rsidRPr="00700AE7" w:rsidRDefault="006F47DC" w:rsidP="006F47DC">
      <w:r>
        <w:t>The finished product will be graded on geometric accuracy (80%) and creativity (20%)</w:t>
      </w:r>
      <w:r w:rsidR="0039448B">
        <w:t xml:space="preserve">. Videos to help you review compass and straight edge construction will be posted on mgeo.weebly.com </w:t>
      </w:r>
      <w:bookmarkStart w:id="0" w:name="_GoBack"/>
      <w:bookmarkEnd w:id="0"/>
    </w:p>
    <w:sectPr w:rsidR="006F47DC" w:rsidRPr="00700AE7" w:rsidSect="00BD1E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64B"/>
    <w:multiLevelType w:val="hybridMultilevel"/>
    <w:tmpl w:val="BB86989C"/>
    <w:lvl w:ilvl="0" w:tplc="60E80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8338E7"/>
    <w:multiLevelType w:val="hybridMultilevel"/>
    <w:tmpl w:val="CAB0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E"/>
    <w:rsid w:val="00136B72"/>
    <w:rsid w:val="00195221"/>
    <w:rsid w:val="001F6B63"/>
    <w:rsid w:val="002A3880"/>
    <w:rsid w:val="0039448B"/>
    <w:rsid w:val="003A640A"/>
    <w:rsid w:val="005F159C"/>
    <w:rsid w:val="006F47DC"/>
    <w:rsid w:val="00700AE7"/>
    <w:rsid w:val="007D5F65"/>
    <w:rsid w:val="009A5B45"/>
    <w:rsid w:val="00A077FE"/>
    <w:rsid w:val="00A536E2"/>
    <w:rsid w:val="00AD3817"/>
    <w:rsid w:val="00B374B0"/>
    <w:rsid w:val="00B54883"/>
    <w:rsid w:val="00DD7460"/>
    <w:rsid w:val="00E45BB8"/>
    <w:rsid w:val="00E65352"/>
    <w:rsid w:val="00EA0C4E"/>
    <w:rsid w:val="00F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3</cp:revision>
  <dcterms:created xsi:type="dcterms:W3CDTF">2014-10-01T12:02:00Z</dcterms:created>
  <dcterms:modified xsi:type="dcterms:W3CDTF">2014-10-14T14:39:00Z</dcterms:modified>
</cp:coreProperties>
</file>